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A" w:rsidRDefault="00B15458">
      <w:pPr>
        <w:jc w:val="center"/>
        <w:rPr>
          <w:rFonts w:ascii="Times New Roman" w:eastAsia="黑体" w:hAnsi="Times New Roman" w:cs="Times New Roman"/>
          <w:sz w:val="18"/>
          <w:szCs w:val="18"/>
        </w:rPr>
      </w:pPr>
      <w:bookmarkStart w:id="0" w:name="_Toc12690096"/>
      <w:bookmarkStart w:id="1" w:name="_Toc5096730"/>
      <w:bookmarkStart w:id="2" w:name="_Toc12690132"/>
      <w:bookmarkStart w:id="3" w:name="_Toc11210542"/>
      <w:r w:rsidRPr="00B15458">
        <w:rPr>
          <w:rFonts w:ascii="Times New Roman" w:eastAsia="黑体" w:hAnsi="Times New Roman" w:cs="Times New Roman" w:hint="eastAsia"/>
          <w:sz w:val="18"/>
          <w:szCs w:val="18"/>
        </w:rPr>
        <w:t>2018</w:t>
      </w:r>
      <w:r w:rsidRPr="00B15458">
        <w:rPr>
          <w:rFonts w:ascii="Times New Roman" w:eastAsia="黑体" w:hAnsi="Times New Roman" w:cs="Times New Roman" w:hint="eastAsia"/>
          <w:sz w:val="18"/>
          <w:szCs w:val="18"/>
        </w:rPr>
        <w:t>年</w:t>
      </w:r>
      <w:r w:rsidR="00766A50" w:rsidRPr="00766A50">
        <w:rPr>
          <w:rFonts w:ascii="Times New Roman" w:eastAsia="黑体" w:hAnsi="Times New Roman" w:cs="Times New Roman" w:hint="eastAsia"/>
          <w:sz w:val="18"/>
          <w:szCs w:val="18"/>
        </w:rPr>
        <w:t>广东省在</w:t>
      </w:r>
      <w:r w:rsidR="003444D1" w:rsidRPr="003444D1">
        <w:rPr>
          <w:rFonts w:ascii="Times New Roman" w:eastAsia="黑体" w:hAnsi="Times New Roman" w:cs="Times New Roman" w:hint="eastAsia"/>
          <w:sz w:val="18"/>
          <w:szCs w:val="18"/>
        </w:rPr>
        <w:t>纺织、造纸、印刷和建筑方面</w:t>
      </w:r>
      <w:bookmarkStart w:id="4" w:name="_GoBack"/>
      <w:bookmarkEnd w:id="4"/>
      <w:r w:rsidR="00766A50" w:rsidRPr="00766A50">
        <w:rPr>
          <w:rFonts w:ascii="Times New Roman" w:eastAsia="黑体" w:hAnsi="Times New Roman" w:cs="Times New Roman" w:hint="eastAsia"/>
          <w:sz w:val="18"/>
          <w:szCs w:val="18"/>
        </w:rPr>
        <w:t>的专利竞争</w:t>
      </w:r>
      <w:r w:rsidR="00766A50">
        <w:rPr>
          <w:rFonts w:ascii="Times New Roman" w:eastAsia="黑体" w:hAnsi="Times New Roman" w:cs="Times New Roman" w:hint="eastAsia"/>
          <w:sz w:val="18"/>
          <w:szCs w:val="18"/>
        </w:rPr>
        <w:t>态势</w:t>
      </w:r>
    </w:p>
    <w:p w:rsidR="003B0D5A" w:rsidRDefault="00092E06">
      <w:pPr>
        <w:jc w:val="center"/>
        <w:rPr>
          <w:rFonts w:ascii="Times New Roman" w:eastAsia="黑体" w:hAnsi="Times New Roman" w:cs="Times New Roman"/>
          <w:sz w:val="18"/>
          <w:szCs w:val="18"/>
        </w:rPr>
      </w:pPr>
      <w:r>
        <w:rPr>
          <w:rFonts w:ascii="Times New Roman" w:eastAsia="黑体" w:hAnsi="Times New Roman" w:cs="Times New Roman"/>
          <w:sz w:val="18"/>
          <w:szCs w:val="18"/>
        </w:rPr>
        <w:t>2018</w:t>
      </w:r>
      <w:r>
        <w:rPr>
          <w:rFonts w:ascii="Times New Roman" w:eastAsia="黑体" w:hAnsi="Times New Roman" w:cs="Times New Roman"/>
          <w:sz w:val="18"/>
          <w:szCs w:val="18"/>
        </w:rPr>
        <w:t>年中国、美国</w:t>
      </w:r>
      <w:r>
        <w:rPr>
          <w:rFonts w:ascii="Times New Roman" w:eastAsia="黑体" w:hAnsi="Times New Roman" w:cs="Times New Roman" w:hint="eastAsia"/>
          <w:sz w:val="18"/>
          <w:szCs w:val="18"/>
        </w:rPr>
        <w:t>、</w:t>
      </w:r>
      <w:r>
        <w:rPr>
          <w:rFonts w:ascii="Times New Roman" w:eastAsia="黑体" w:hAnsi="Times New Roman" w:cs="Times New Roman"/>
          <w:sz w:val="18"/>
          <w:szCs w:val="18"/>
        </w:rPr>
        <w:t>欧洲发明专利统计分析报告</w:t>
      </w:r>
      <w:r>
        <w:rPr>
          <w:rFonts w:ascii="Times New Roman" w:eastAsia="黑体" w:hAnsi="Times New Roman" w:cs="Times New Roman" w:hint="eastAsia"/>
          <w:sz w:val="18"/>
          <w:szCs w:val="18"/>
        </w:rPr>
        <w:t>（</w:t>
      </w:r>
      <w:proofErr w:type="gramStart"/>
      <w:r w:rsidR="007E40F2" w:rsidRPr="007E40F2">
        <w:rPr>
          <w:rFonts w:ascii="Times New Roman" w:eastAsia="黑体" w:hAnsi="Times New Roman" w:cs="Times New Roman" w:hint="eastAsia"/>
          <w:sz w:val="18"/>
          <w:szCs w:val="18"/>
        </w:rPr>
        <w:t>附录第</w:t>
      </w:r>
      <w:proofErr w:type="gramEnd"/>
      <w:r w:rsidR="007E40F2" w:rsidRPr="007E40F2">
        <w:rPr>
          <w:rFonts w:ascii="Times New Roman" w:eastAsia="黑体" w:hAnsi="Times New Roman" w:cs="Times New Roman" w:hint="eastAsia"/>
          <w:sz w:val="18"/>
          <w:szCs w:val="18"/>
        </w:rPr>
        <w:t>一部分</w:t>
      </w:r>
      <w:r>
        <w:rPr>
          <w:rFonts w:ascii="Times New Roman" w:eastAsia="黑体" w:hAnsi="Times New Roman" w:cs="Times New Roman" w:hint="eastAsia"/>
          <w:sz w:val="18"/>
          <w:szCs w:val="18"/>
        </w:rPr>
        <w:t>）</w:t>
      </w:r>
    </w:p>
    <w:p w:rsidR="003B0D5A" w:rsidRDefault="00092E06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中美欧日韩五局专利数据统计分析小组</w:t>
      </w:r>
    </w:p>
    <w:bookmarkEnd w:id="0"/>
    <w:p w:rsidR="003B0D5A" w:rsidRDefault="007E40F2">
      <w:pPr>
        <w:pStyle w:val="1"/>
        <w:jc w:val="center"/>
        <w:rPr>
          <w:rFonts w:ascii="Times New Roman" w:eastAsia="宋体" w:hAnsi="Times New Roman" w:cs="Times New Roman"/>
          <w:sz w:val="30"/>
          <w:szCs w:val="30"/>
        </w:rPr>
      </w:pPr>
      <w:proofErr w:type="gramStart"/>
      <w:r w:rsidRPr="007E40F2">
        <w:rPr>
          <w:rFonts w:ascii="Times New Roman" w:eastAsia="宋体" w:hAnsi="Times New Roman" w:cs="Times New Roman" w:hint="eastAsia"/>
          <w:sz w:val="30"/>
          <w:szCs w:val="30"/>
        </w:rPr>
        <w:t>附录第</w:t>
      </w:r>
      <w:proofErr w:type="gramEnd"/>
      <w:r w:rsidRPr="007E40F2">
        <w:rPr>
          <w:rFonts w:ascii="Times New Roman" w:eastAsia="宋体" w:hAnsi="Times New Roman" w:cs="Times New Roman" w:hint="eastAsia"/>
          <w:sz w:val="30"/>
          <w:szCs w:val="30"/>
        </w:rPr>
        <w:t>一部分</w:t>
      </w:r>
      <w:r w:rsidRPr="007E40F2">
        <w:rPr>
          <w:rFonts w:ascii="Times New Roman" w:eastAsia="宋体" w:hAnsi="Times New Roman" w:cs="Times New Roman" w:hint="eastAsia"/>
          <w:sz w:val="30"/>
          <w:szCs w:val="30"/>
        </w:rPr>
        <w:t xml:space="preserve">  2018</w:t>
      </w:r>
      <w:r w:rsidRPr="007E40F2">
        <w:rPr>
          <w:rFonts w:ascii="Times New Roman" w:eastAsia="宋体" w:hAnsi="Times New Roman" w:cs="Times New Roman" w:hint="eastAsia"/>
          <w:sz w:val="30"/>
          <w:szCs w:val="30"/>
        </w:rPr>
        <w:t>年中国发明专利部分省区</w:t>
      </w:r>
      <w:r w:rsidR="00166A5F">
        <w:rPr>
          <w:rFonts w:ascii="Times New Roman" w:eastAsia="宋体" w:hAnsi="Times New Roman" w:cs="Times New Roman" w:hint="eastAsia"/>
          <w:sz w:val="30"/>
          <w:szCs w:val="30"/>
        </w:rPr>
        <w:t>的</w:t>
      </w:r>
      <w:r w:rsidRPr="007E40F2">
        <w:rPr>
          <w:rFonts w:ascii="Times New Roman" w:eastAsia="宋体" w:hAnsi="Times New Roman" w:cs="Times New Roman" w:hint="eastAsia"/>
          <w:sz w:val="30"/>
          <w:szCs w:val="30"/>
        </w:rPr>
        <w:t>统计分析报告</w:t>
      </w:r>
    </w:p>
    <w:bookmarkEnd w:id="1"/>
    <w:bookmarkEnd w:id="2"/>
    <w:bookmarkEnd w:id="3"/>
    <w:p w:rsidR="009E2CD3" w:rsidRDefault="009E2CD3" w:rsidP="009E2CD3">
      <w:pPr>
        <w:pStyle w:val="2"/>
        <w:spacing w:beforeLines="50" w:before="156" w:afterLines="50" w:after="156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9380D">
        <w:rPr>
          <w:rFonts w:ascii="Times New Roman" w:eastAsia="宋体" w:hAnsi="Times New Roman" w:cs="Times New Roman" w:hint="eastAsia"/>
          <w:sz w:val="28"/>
          <w:szCs w:val="28"/>
        </w:rPr>
        <w:t>附录</w:t>
      </w:r>
      <w:r w:rsidRPr="00F9380D">
        <w:rPr>
          <w:rFonts w:ascii="Times New Roman" w:eastAsia="宋体" w:hAnsi="Times New Roman" w:cs="Times New Roman"/>
          <w:sz w:val="28"/>
          <w:szCs w:val="28"/>
        </w:rPr>
        <w:t>1</w:t>
      </w:r>
      <w:r w:rsidRPr="00F9380D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F9380D">
        <w:rPr>
          <w:rFonts w:ascii="Times New Roman" w:eastAsia="宋体" w:hAnsi="Times New Roman" w:cs="Times New Roman" w:hint="eastAsia"/>
          <w:sz w:val="28"/>
          <w:szCs w:val="28"/>
        </w:rPr>
        <w:t>广东省国家发明专利统计分析报告</w:t>
      </w:r>
    </w:p>
    <w:p w:rsidR="009B7AC5" w:rsidRDefault="009B7AC5" w:rsidP="00766A50">
      <w:pPr>
        <w:pStyle w:val="2"/>
        <w:spacing w:beforeLines="50" w:before="156" w:afterLines="50" w:after="156" w:line="360" w:lineRule="auto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附录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1.4 </w:t>
      </w:r>
      <w:r w:rsidRPr="005A6498">
        <w:rPr>
          <w:rFonts w:ascii="Times New Roman" w:eastAsia="宋体" w:hAnsi="Times New Roman" w:cs="Times New Roman" w:hint="eastAsia"/>
          <w:sz w:val="24"/>
          <w:szCs w:val="24"/>
        </w:rPr>
        <w:t>广东省</w:t>
      </w:r>
      <w:r>
        <w:rPr>
          <w:rFonts w:ascii="Times New Roman" w:eastAsia="宋体" w:hAnsi="Times New Roman" w:cs="Times New Roman" w:hint="eastAsia"/>
          <w:sz w:val="24"/>
          <w:szCs w:val="24"/>
        </w:rPr>
        <w:t>在各技术领域的</w:t>
      </w:r>
      <w:r w:rsidRPr="005A6498">
        <w:rPr>
          <w:rFonts w:ascii="Times New Roman" w:eastAsia="宋体" w:hAnsi="Times New Roman" w:cs="Times New Roman" w:hint="eastAsia"/>
          <w:sz w:val="24"/>
          <w:szCs w:val="24"/>
        </w:rPr>
        <w:t>专利竞争</w:t>
      </w:r>
      <w:r>
        <w:rPr>
          <w:rFonts w:ascii="Times New Roman" w:eastAsia="宋体" w:hAnsi="Times New Roman" w:cs="Times New Roman" w:hint="eastAsia"/>
          <w:sz w:val="24"/>
          <w:szCs w:val="24"/>
        </w:rPr>
        <w:t>态势</w:t>
      </w:r>
    </w:p>
    <w:p w:rsidR="00FE41B7" w:rsidRPr="00962418" w:rsidRDefault="00FE41B7" w:rsidP="00FE41B7">
      <w:pPr>
        <w:pStyle w:val="2"/>
        <w:spacing w:beforeLines="50" w:before="156" w:afterLines="50" w:after="156" w:line="360" w:lineRule="auto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 w:val="0"/>
          <w:sz w:val="24"/>
          <w:szCs w:val="24"/>
        </w:rPr>
        <w:t>附录</w:t>
      </w:r>
      <w:r>
        <w:rPr>
          <w:rFonts w:ascii="Times New Roman" w:eastAsia="宋体" w:hAnsi="Times New Roman" w:cs="Times New Roman" w:hint="eastAsia"/>
          <w:b w:val="0"/>
          <w:sz w:val="24"/>
          <w:szCs w:val="24"/>
        </w:rPr>
        <w:t>1.</w:t>
      </w:r>
      <w:r w:rsidRPr="00962418">
        <w:rPr>
          <w:rFonts w:ascii="Times New Roman" w:eastAsia="宋体" w:hAnsi="Times New Roman" w:cs="Times New Roman" w:hint="eastAsia"/>
          <w:b w:val="0"/>
          <w:sz w:val="24"/>
          <w:szCs w:val="24"/>
        </w:rPr>
        <w:t>4.</w:t>
      </w:r>
      <w:r>
        <w:rPr>
          <w:rFonts w:ascii="Times New Roman" w:eastAsia="宋体" w:hAnsi="Times New Roman" w:cs="Times New Roman" w:hint="eastAsia"/>
          <w:b w:val="0"/>
          <w:sz w:val="24"/>
          <w:szCs w:val="24"/>
        </w:rPr>
        <w:t>4</w:t>
      </w:r>
      <w:r w:rsidRPr="00962418">
        <w:rPr>
          <w:rFonts w:ascii="Times New Roman" w:eastAsia="宋体" w:hAnsi="Times New Roman" w:cs="Times New Roman" w:hint="eastAsia"/>
          <w:b w:val="0"/>
          <w:sz w:val="24"/>
          <w:szCs w:val="24"/>
        </w:rPr>
        <w:t xml:space="preserve"> </w:t>
      </w:r>
      <w:r w:rsidRPr="00962418">
        <w:rPr>
          <w:rFonts w:ascii="Times New Roman" w:eastAsia="宋体" w:hAnsi="Times New Roman" w:cs="Times New Roman" w:hint="eastAsia"/>
          <w:b w:val="0"/>
          <w:sz w:val="24"/>
          <w:szCs w:val="24"/>
        </w:rPr>
        <w:t>广东省</w:t>
      </w:r>
      <w:r>
        <w:rPr>
          <w:rFonts w:ascii="Times New Roman" w:eastAsia="宋体" w:hAnsi="Times New Roman" w:cs="Times New Roman" w:hint="eastAsia"/>
          <w:b w:val="0"/>
          <w:sz w:val="24"/>
          <w:szCs w:val="24"/>
        </w:rPr>
        <w:t>在</w:t>
      </w:r>
      <w:r w:rsidRPr="00226A58">
        <w:rPr>
          <w:rFonts w:ascii="Times New Roman" w:eastAsia="宋体" w:hAnsi="Times New Roman" w:cs="Times New Roman" w:hint="eastAsia"/>
          <w:b w:val="0"/>
          <w:sz w:val="24"/>
          <w:szCs w:val="24"/>
        </w:rPr>
        <w:t>纺织、造纸、印刷和建筑</w:t>
      </w:r>
      <w:r>
        <w:rPr>
          <w:rFonts w:ascii="Times New Roman" w:eastAsia="宋体" w:hAnsi="Times New Roman" w:cs="Times New Roman" w:hint="eastAsia"/>
          <w:b w:val="0"/>
          <w:sz w:val="24"/>
          <w:szCs w:val="24"/>
        </w:rPr>
        <w:t>方面的专利竞争态势</w:t>
      </w:r>
    </w:p>
    <w:p w:rsidR="00FE41B7" w:rsidRDefault="00FE41B7" w:rsidP="00FE41B7">
      <w:pPr>
        <w:spacing w:beforeLines="50" w:before="156" w:afterLines="50" w:after="156"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>该方面的专利属于</w:t>
      </w:r>
      <w:r w:rsidRPr="00ED57ED">
        <w:rPr>
          <w:rFonts w:ascii="Times New Roman" w:hAnsi="Times New Roman" w:cs="Times New Roman"/>
          <w:sz w:val="24"/>
          <w:szCs w:val="24"/>
        </w:rPr>
        <w:t>IPC</w:t>
      </w:r>
      <w:r w:rsidRPr="00ED57ED">
        <w:rPr>
          <w:rFonts w:ascii="Times New Roman" w:hAnsi="Times New Roman" w:cs="Times New Roman"/>
          <w:sz w:val="24"/>
          <w:szCs w:val="24"/>
        </w:rPr>
        <w:t>分类体系中的</w:t>
      </w:r>
      <w:r w:rsidRPr="00ED57ED">
        <w:rPr>
          <w:rFonts w:ascii="Times New Roman" w:hAnsi="Times New Roman" w:cs="Times New Roman"/>
          <w:sz w:val="24"/>
          <w:szCs w:val="24"/>
        </w:rPr>
        <w:t>D</w:t>
      </w:r>
      <w:r w:rsidRPr="00ED57ED">
        <w:rPr>
          <w:rFonts w:ascii="Times New Roman" w:hAnsi="Times New Roman" w:cs="Times New Roman"/>
          <w:sz w:val="24"/>
          <w:szCs w:val="24"/>
        </w:rPr>
        <w:t>部纺织和造纸、</w:t>
      </w:r>
      <w:r w:rsidRPr="00ED57E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D57ED">
        <w:rPr>
          <w:rFonts w:ascii="Times New Roman" w:hAnsi="Times New Roman" w:cs="Times New Roman"/>
          <w:sz w:val="24"/>
          <w:szCs w:val="24"/>
        </w:rPr>
        <w:t>部固定</w:t>
      </w:r>
      <w:proofErr w:type="gramEnd"/>
      <w:r w:rsidRPr="00ED57ED">
        <w:rPr>
          <w:rFonts w:ascii="Times New Roman" w:hAnsi="Times New Roman" w:cs="Times New Roman"/>
          <w:sz w:val="24"/>
          <w:szCs w:val="24"/>
        </w:rPr>
        <w:t>建筑物和</w:t>
      </w:r>
      <w:r w:rsidRPr="00ED57ED">
        <w:rPr>
          <w:rFonts w:ascii="Times New Roman" w:hAnsi="Times New Roman" w:cs="Times New Roman"/>
          <w:sz w:val="24"/>
          <w:szCs w:val="24"/>
        </w:rPr>
        <w:t>B</w:t>
      </w:r>
      <w:r w:rsidRPr="00ED57ED">
        <w:rPr>
          <w:rFonts w:ascii="Times New Roman" w:hAnsi="Times New Roman" w:cs="Times New Roman"/>
          <w:sz w:val="24"/>
          <w:szCs w:val="24"/>
        </w:rPr>
        <w:t>部的</w:t>
      </w:r>
      <w:proofErr w:type="gramStart"/>
      <w:r w:rsidRPr="00ED57ED">
        <w:rPr>
          <w:rFonts w:ascii="Times New Roman" w:hAnsi="Times New Roman" w:cs="Times New Roman"/>
          <w:sz w:val="24"/>
          <w:szCs w:val="24"/>
        </w:rPr>
        <w:t>一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小</w:t>
      </w:r>
      <w:r w:rsidRPr="00ED57ED">
        <w:rPr>
          <w:rFonts w:ascii="Times New Roman" w:hAnsi="Times New Roman" w:cs="Times New Roman"/>
          <w:sz w:val="24"/>
          <w:szCs w:val="24"/>
        </w:rPr>
        <w:t>部分。第</w:t>
      </w:r>
      <w:r w:rsidRPr="00ED57ED">
        <w:rPr>
          <w:rFonts w:ascii="Times New Roman" w:hAnsi="Times New Roman" w:cs="Times New Roman"/>
          <w:sz w:val="24"/>
          <w:szCs w:val="24"/>
        </w:rPr>
        <w:t>16</w:t>
      </w:r>
      <w:r w:rsidRPr="00ED57ED">
        <w:rPr>
          <w:rFonts w:ascii="Times New Roman" w:hAnsi="Times New Roman" w:cs="Times New Roman"/>
          <w:sz w:val="24"/>
          <w:szCs w:val="24"/>
        </w:rPr>
        <w:t>个技术领域是纺织、造纸和印刷。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Pr="00ED57ED">
        <w:rPr>
          <w:rFonts w:ascii="Times New Roman" w:hAnsi="Times New Roman" w:cs="Times New Roman"/>
          <w:sz w:val="24"/>
          <w:szCs w:val="24"/>
        </w:rPr>
        <w:t>国内机构中，小天鹅公司的专利最多，主要涉及纺织品的洗涤和烘干处理等技术。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Pr="00ED57ED">
        <w:rPr>
          <w:rFonts w:ascii="Times New Roman" w:hAnsi="Times New Roman" w:cs="Times New Roman"/>
          <w:sz w:val="24"/>
          <w:szCs w:val="24"/>
        </w:rPr>
        <w:t>国外机构中，爱普生的专利最多，主要涉及打印技术。国内的机构主要</w:t>
      </w:r>
      <w:r>
        <w:rPr>
          <w:rFonts w:ascii="Times New Roman" w:hAnsi="Times New Roman" w:cs="Times New Roman" w:hint="eastAsia"/>
          <w:sz w:val="24"/>
          <w:szCs w:val="24"/>
        </w:rPr>
        <w:t>涉及</w:t>
      </w:r>
      <w:r w:rsidRPr="00ED57ED">
        <w:rPr>
          <w:rFonts w:ascii="Times New Roman" w:hAnsi="Times New Roman" w:cs="Times New Roman"/>
          <w:sz w:val="24"/>
          <w:szCs w:val="24"/>
        </w:rPr>
        <w:t>纺织品技术，而国外主要是打印技术。</w:t>
      </w:r>
    </w:p>
    <w:p w:rsidR="00FE41B7" w:rsidRPr="007C074A" w:rsidRDefault="00FE41B7" w:rsidP="00FE41B7">
      <w:pPr>
        <w:spacing w:beforeLines="50" w:before="156" w:afterLines="50" w:after="156"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广东省在该领域有很强的优势，获得了该领域</w:t>
      </w:r>
      <w:r>
        <w:rPr>
          <w:rFonts w:ascii="Times New Roman" w:hAnsi="Times New Roman" w:cs="Times New Roman" w:hint="eastAsia"/>
          <w:sz w:val="24"/>
          <w:szCs w:val="24"/>
        </w:rPr>
        <w:t>10%</w:t>
      </w:r>
      <w:r>
        <w:rPr>
          <w:rFonts w:ascii="Times New Roman" w:hAnsi="Times New Roman" w:cs="Times New Roman" w:hint="eastAsia"/>
          <w:sz w:val="24"/>
          <w:szCs w:val="24"/>
        </w:rPr>
        <w:t>的专利。</w:t>
      </w:r>
      <w:r w:rsidRPr="007C074A">
        <w:rPr>
          <w:rFonts w:ascii="Times New Roman" w:hAnsi="Times New Roman" w:cs="Times New Roman" w:hint="eastAsia"/>
          <w:sz w:val="24"/>
          <w:szCs w:val="24"/>
        </w:rPr>
        <w:t>广东溢达纺织有限公司</w:t>
      </w:r>
      <w:r w:rsidRPr="00ED57ED">
        <w:rPr>
          <w:rFonts w:ascii="Times New Roman" w:hAnsi="Times New Roman" w:cs="Times New Roman"/>
          <w:sz w:val="24"/>
          <w:szCs w:val="24"/>
        </w:rPr>
        <w:t>具有较强的专利实力。</w:t>
      </w:r>
    </w:p>
    <w:p w:rsidR="00FE41B7" w:rsidRPr="00ED57ED" w:rsidRDefault="00FE41B7" w:rsidP="00FE41B7">
      <w:pPr>
        <w:spacing w:beforeLines="50" w:before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1"/>
        </w:rPr>
        <w:t>附表</w:t>
      </w:r>
      <w:r>
        <w:rPr>
          <w:rFonts w:ascii="Times New Roman" w:hAnsi="Times New Roman" w:cs="Times New Roman"/>
          <w:b/>
          <w:szCs w:val="21"/>
        </w:rPr>
        <w:t>1.4-</w:t>
      </w:r>
      <w:r w:rsidRPr="00ED57ED">
        <w:rPr>
          <w:rFonts w:ascii="Times New Roman" w:hAnsi="Times New Roman" w:cs="Times New Roman"/>
          <w:b/>
          <w:szCs w:val="21"/>
        </w:rPr>
        <w:t xml:space="preserve">16  </w:t>
      </w:r>
      <w:r w:rsidRPr="00ED57ED">
        <w:rPr>
          <w:rFonts w:ascii="Times New Roman" w:hAnsi="Times New Roman" w:cs="Times New Roman"/>
          <w:b/>
          <w:szCs w:val="21"/>
        </w:rPr>
        <w:t>纺织造纸和印刷</w:t>
      </w:r>
      <w:r>
        <w:rPr>
          <w:rFonts w:ascii="Times New Roman" w:hAnsi="Times New Roman" w:cs="Times New Roman"/>
          <w:b/>
          <w:szCs w:val="21"/>
        </w:rPr>
        <w:t>领域的专利数量对比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4"/>
        <w:gridCol w:w="3729"/>
        <w:gridCol w:w="629"/>
      </w:tblGrid>
      <w:tr w:rsidR="00FE41B7" w:rsidRPr="00ED57ED" w:rsidTr="00D222C5">
        <w:trPr>
          <w:trHeight w:val="280"/>
        </w:trPr>
        <w:tc>
          <w:tcPr>
            <w:tcW w:w="3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50" w:left="-105" w:rightChars="-51" w:right="-107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总体前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十</w:t>
            </w: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机构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51" w:left="-4" w:hangingChars="49" w:hanging="103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88" w:type="pct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省内前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十</w:t>
            </w: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机构</w:t>
            </w:r>
            <w:proofErr w:type="gramEnd"/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45" w:left="-3" w:hangingChars="43" w:hanging="91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无锡小天鹅股份有限公司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256</w:t>
            </w:r>
          </w:p>
        </w:tc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广东溢达纺织有限公司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80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日本精工爱普生株式会社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253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华南理工大学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42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东华大学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127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珠海格力电器股份有限公司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30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江南大学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103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广东美的环境电器制造有限公司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16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韩国</w:t>
            </w:r>
            <w:r w:rsidRPr="00E63E39">
              <w:rPr>
                <w:rFonts w:hint="eastAsia"/>
              </w:rPr>
              <w:t>LG</w:t>
            </w:r>
            <w:r w:rsidRPr="00E63E39">
              <w:rPr>
                <w:rFonts w:hint="eastAsia"/>
              </w:rPr>
              <w:t>电子株式会社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102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广东工业大学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15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青岛海尔洗衣机有限公司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90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东莞市联洲知识产权运营管理公司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13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广东溢达纺织有限公司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80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珠海艾派克微电子有限公司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12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日本佳能株式会社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69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广州番禺职业技术学院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10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武汉纺织大学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69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佛山市南海</w:t>
            </w:r>
            <w:proofErr w:type="gramStart"/>
            <w:r w:rsidRPr="00CE4323">
              <w:rPr>
                <w:rFonts w:hint="eastAsia"/>
              </w:rPr>
              <w:t>区三简包装</w:t>
            </w:r>
            <w:proofErr w:type="gramEnd"/>
            <w:r w:rsidRPr="00CE4323">
              <w:rPr>
                <w:rFonts w:hint="eastAsia"/>
              </w:rPr>
              <w:t>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8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1B7" w:rsidRPr="00E63E39" w:rsidRDefault="00FE41B7" w:rsidP="00D222C5">
            <w:r w:rsidRPr="00E63E39">
              <w:rPr>
                <w:rFonts w:hint="eastAsia"/>
              </w:rPr>
              <w:t>江苏恒力化纤股份有限公司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</w:tcPr>
          <w:p w:rsidR="00FE41B7" w:rsidRDefault="00FE41B7" w:rsidP="00D222C5">
            <w:r w:rsidRPr="00E63E39">
              <w:rPr>
                <w:rFonts w:hint="eastAsia"/>
              </w:rPr>
              <w:t>68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珠海纳思达企业管理有限公司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1B7" w:rsidRPr="00CE4323" w:rsidRDefault="00FE41B7" w:rsidP="00D222C5">
            <w:r w:rsidRPr="00CE4323">
              <w:rPr>
                <w:rFonts w:hint="eastAsia"/>
              </w:rPr>
              <w:t>8</w:t>
            </w:r>
          </w:p>
        </w:tc>
      </w:tr>
    </w:tbl>
    <w:p w:rsidR="00FE41B7" w:rsidRDefault="00FE41B7" w:rsidP="00FE41B7">
      <w:pPr>
        <w:spacing w:beforeLines="50" w:before="156" w:afterLines="50" w:after="156"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ED57ED">
        <w:rPr>
          <w:rFonts w:ascii="Times New Roman" w:hAnsi="Times New Roman" w:cs="Times New Roman"/>
          <w:sz w:val="24"/>
          <w:szCs w:val="24"/>
        </w:rPr>
        <w:t>第</w:t>
      </w:r>
      <w:r w:rsidRPr="00ED57ED">
        <w:rPr>
          <w:rFonts w:ascii="Times New Roman" w:hAnsi="Times New Roman" w:cs="Times New Roman"/>
          <w:sz w:val="24"/>
          <w:szCs w:val="24"/>
        </w:rPr>
        <w:t>17</w:t>
      </w:r>
      <w:r w:rsidRPr="00ED57ED">
        <w:rPr>
          <w:rFonts w:ascii="Times New Roman" w:hAnsi="Times New Roman" w:cs="Times New Roman"/>
          <w:sz w:val="24"/>
          <w:szCs w:val="24"/>
        </w:rPr>
        <w:t>个技术领域是建筑和采矿，对应</w:t>
      </w:r>
      <w:r w:rsidRPr="00ED57ED">
        <w:rPr>
          <w:rFonts w:ascii="Times New Roman" w:hAnsi="Times New Roman" w:cs="Times New Roman"/>
          <w:sz w:val="24"/>
          <w:szCs w:val="24"/>
        </w:rPr>
        <w:t>IPC</w:t>
      </w:r>
      <w:r w:rsidRPr="00ED57ED">
        <w:rPr>
          <w:rFonts w:ascii="Times New Roman" w:hAnsi="Times New Roman" w:cs="Times New Roman"/>
          <w:sz w:val="24"/>
          <w:szCs w:val="24"/>
        </w:rPr>
        <w:t>分类体系中的</w:t>
      </w:r>
      <w:r w:rsidRPr="00ED57E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D57ED">
        <w:rPr>
          <w:rFonts w:ascii="Times New Roman" w:hAnsi="Times New Roman" w:cs="Times New Roman"/>
          <w:sz w:val="24"/>
          <w:szCs w:val="24"/>
        </w:rPr>
        <w:t>部固定</w:t>
      </w:r>
      <w:proofErr w:type="gramEnd"/>
      <w:r w:rsidRPr="00ED57ED">
        <w:rPr>
          <w:rFonts w:ascii="Times New Roman" w:hAnsi="Times New Roman" w:cs="Times New Roman"/>
          <w:sz w:val="24"/>
          <w:szCs w:val="24"/>
        </w:rPr>
        <w:t>建筑物。其主要涉及一般建筑物，以及道路、铁路、桥梁、水利、给排水的建筑，还包括岩石钻进和采油、采气、采矿。专利最多的是中石油，其次是中石化和西南石油大学等数家高校。</w:t>
      </w:r>
    </w:p>
    <w:p w:rsidR="00FE41B7" w:rsidRPr="007C074A" w:rsidRDefault="00FE41B7" w:rsidP="00FE41B7">
      <w:pPr>
        <w:spacing w:beforeLines="50" w:before="156" w:afterLines="50" w:after="156"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广东省在该领域有较强的优势，获得了该领域</w:t>
      </w:r>
      <w:r>
        <w:rPr>
          <w:rFonts w:ascii="Times New Roman" w:hAnsi="Times New Roman" w:cs="Times New Roman" w:hint="eastAsia"/>
          <w:sz w:val="24"/>
          <w:szCs w:val="24"/>
        </w:rPr>
        <w:t>6%</w:t>
      </w:r>
      <w:r>
        <w:rPr>
          <w:rFonts w:ascii="Times New Roman" w:hAnsi="Times New Roman" w:cs="Times New Roman" w:hint="eastAsia"/>
          <w:sz w:val="24"/>
          <w:szCs w:val="24"/>
        </w:rPr>
        <w:t>的专利。但是缺乏实力较强的企业，</w:t>
      </w:r>
      <w:r w:rsidRPr="005237F5">
        <w:rPr>
          <w:rFonts w:ascii="Times New Roman" w:hAnsi="Times New Roman" w:cs="Times New Roman" w:hint="eastAsia"/>
          <w:sz w:val="24"/>
          <w:szCs w:val="24"/>
        </w:rPr>
        <w:t>比亚迪股份有限公司</w:t>
      </w:r>
      <w:r>
        <w:rPr>
          <w:rFonts w:ascii="Times New Roman" w:hAnsi="Times New Roman" w:cs="Times New Roman" w:hint="eastAsia"/>
          <w:sz w:val="24"/>
          <w:szCs w:val="24"/>
        </w:rPr>
        <w:t>等机构仅有少量的专利</w:t>
      </w:r>
      <w:r w:rsidRPr="00ED57ED">
        <w:rPr>
          <w:rFonts w:ascii="Times New Roman" w:hAnsi="Times New Roman" w:cs="Times New Roman"/>
          <w:sz w:val="24"/>
          <w:szCs w:val="24"/>
        </w:rPr>
        <w:t>。</w:t>
      </w:r>
    </w:p>
    <w:p w:rsidR="00FE41B7" w:rsidRPr="00ED57ED" w:rsidRDefault="00FE41B7" w:rsidP="00FE41B7">
      <w:pPr>
        <w:spacing w:beforeLines="50" w:before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1"/>
        </w:rPr>
        <w:t>附表</w:t>
      </w:r>
      <w:r>
        <w:rPr>
          <w:rFonts w:ascii="Times New Roman" w:hAnsi="Times New Roman" w:cs="Times New Roman"/>
          <w:b/>
          <w:szCs w:val="21"/>
        </w:rPr>
        <w:t>1.4-</w:t>
      </w:r>
      <w:r w:rsidRPr="00ED57ED">
        <w:rPr>
          <w:rFonts w:ascii="Times New Roman" w:hAnsi="Times New Roman" w:cs="Times New Roman"/>
          <w:b/>
          <w:szCs w:val="21"/>
        </w:rPr>
        <w:t xml:space="preserve">17  </w:t>
      </w:r>
      <w:r w:rsidRPr="00ED57ED">
        <w:rPr>
          <w:rFonts w:ascii="Times New Roman" w:hAnsi="Times New Roman" w:cs="Times New Roman"/>
          <w:b/>
          <w:szCs w:val="21"/>
        </w:rPr>
        <w:t>建筑和采矿</w:t>
      </w:r>
      <w:r>
        <w:rPr>
          <w:rFonts w:ascii="Times New Roman" w:hAnsi="Times New Roman" w:cs="Times New Roman"/>
          <w:b/>
          <w:szCs w:val="21"/>
        </w:rPr>
        <w:t>领域的专利数量对比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4"/>
        <w:gridCol w:w="3729"/>
        <w:gridCol w:w="629"/>
      </w:tblGrid>
      <w:tr w:rsidR="00FE41B7" w:rsidRPr="00ED57ED" w:rsidTr="00D222C5">
        <w:trPr>
          <w:trHeight w:val="280"/>
        </w:trPr>
        <w:tc>
          <w:tcPr>
            <w:tcW w:w="3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50" w:left="-105" w:rightChars="-51" w:right="-107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总体前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十</w:t>
            </w: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机构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51" w:left="-4" w:hangingChars="49" w:hanging="103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88" w:type="pct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省内前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十</w:t>
            </w: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机构</w:t>
            </w:r>
            <w:proofErr w:type="gramEnd"/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211A22" w:rsidRDefault="00FE41B7" w:rsidP="00D222C5">
            <w:pPr>
              <w:widowControl/>
              <w:ind w:leftChars="-45" w:left="-3" w:hangingChars="43" w:hanging="91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11A22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中国石油天然气股份有限公司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402</w:t>
            </w:r>
          </w:p>
        </w:tc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比亚迪股份有限公司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21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中国石油化工股份有限公司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242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广东坚朗五金制品股份有限公司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14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西南石油大学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178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广州大学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13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东南大学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广东工业大学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13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中国矿业大学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中铁十九局集团第七工程有限公司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12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中国建筑第八工程局有限公司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中建钢构有限公司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11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山东科技大学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华南理工大学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10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中国石油大学（华东）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广东省建筑设计研究院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10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0" w:left="-10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沈阳建筑大学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广东金大田家居股份有限公司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8</w:t>
            </w:r>
          </w:p>
        </w:tc>
      </w:tr>
      <w:tr w:rsidR="00FE41B7" w:rsidRPr="00ED57ED" w:rsidTr="00D222C5">
        <w:trPr>
          <w:trHeight w:val="280"/>
        </w:trPr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1B7" w:rsidRPr="00ED57ED" w:rsidRDefault="00FE41B7" w:rsidP="00D222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D57E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ind w:leftChars="-51" w:left="-107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美国哈里伯顿能源服务公司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E41B7" w:rsidRPr="00ED57ED" w:rsidRDefault="00FE41B7" w:rsidP="00D222C5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7ED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2188" w:type="pct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1B7" w:rsidRPr="006D7A62" w:rsidRDefault="00FE41B7" w:rsidP="00D222C5">
            <w:r w:rsidRPr="006D7A62">
              <w:rPr>
                <w:rFonts w:hint="eastAsia"/>
              </w:rPr>
              <w:t>深圳市市政设计研究院有限公司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41B7" w:rsidRDefault="00FE41B7" w:rsidP="00D222C5">
            <w:r w:rsidRPr="006D7A62">
              <w:rPr>
                <w:rFonts w:hint="eastAsia"/>
              </w:rPr>
              <w:t>8</w:t>
            </w:r>
          </w:p>
        </w:tc>
      </w:tr>
    </w:tbl>
    <w:p w:rsidR="00FE41B7" w:rsidRDefault="00FE41B7" w:rsidP="00FE41B7">
      <w:pPr>
        <w:spacing w:beforeLines="50" w:before="156" w:afterLines="50" w:after="156"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</w:p>
    <w:p w:rsidR="00A32C5E" w:rsidRDefault="00A32C5E" w:rsidP="00A32C5E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14B2C" w:rsidRDefault="00614B2C" w:rsidP="00A32C5E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3B0D5A" w:rsidRDefault="00092E06">
      <w:pPr>
        <w:pStyle w:val="1"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致谢</w:t>
      </w:r>
    </w:p>
    <w:p w:rsidR="003B0D5A" w:rsidRDefault="00092E06" w:rsidP="0022134C">
      <w:pPr>
        <w:spacing w:beforeLines="50" w:before="156" w:afterLines="50" w:after="156" w:line="360" w:lineRule="auto"/>
        <w:ind w:firstLineChars="200" w:firstLine="480"/>
      </w:pPr>
      <w:r>
        <w:rPr>
          <w:rFonts w:ascii="Times New Roman" w:eastAsia="宋体" w:hAnsi="Times New Roman" w:cs="Times New Roman" w:hint="eastAsia"/>
          <w:sz w:val="24"/>
          <w:szCs w:val="24"/>
        </w:rPr>
        <w:t>感谢大连理工大学</w:t>
      </w:r>
      <w:r>
        <w:rPr>
          <w:rFonts w:ascii="Times New Roman" w:eastAsia="宋体" w:hAnsi="Times New Roman" w:cs="Times New Roman"/>
          <w:sz w:val="24"/>
          <w:szCs w:val="24"/>
        </w:rPr>
        <w:t>刘则渊教授、河南师范大学梁</w:t>
      </w:r>
      <w:r>
        <w:rPr>
          <w:rFonts w:ascii="Times New Roman" w:eastAsia="宋体" w:hAnsi="Times New Roman" w:cs="Times New Roman" w:hint="eastAsia"/>
          <w:sz w:val="24"/>
          <w:szCs w:val="24"/>
        </w:rPr>
        <w:t>立明</w:t>
      </w:r>
      <w:r>
        <w:rPr>
          <w:rFonts w:ascii="Times New Roman" w:eastAsia="宋体" w:hAnsi="Times New Roman" w:cs="Times New Roman"/>
          <w:sz w:val="24"/>
          <w:szCs w:val="24"/>
        </w:rPr>
        <w:t>教授、</w:t>
      </w:r>
      <w:r>
        <w:rPr>
          <w:rFonts w:ascii="Times New Roman" w:eastAsia="宋体" w:hAnsi="Times New Roman" w:cs="Times New Roman" w:hint="eastAsia"/>
          <w:sz w:val="24"/>
          <w:szCs w:val="24"/>
        </w:rPr>
        <w:t>科技部中国科学技术发展战略研究院武夷山研究员对本</w:t>
      </w:r>
      <w:r>
        <w:rPr>
          <w:rFonts w:ascii="Times New Roman" w:eastAsia="宋体" w:hAnsi="Times New Roman" w:cs="Times New Roman"/>
          <w:sz w:val="24"/>
          <w:szCs w:val="24"/>
        </w:rPr>
        <w:t>报告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</w:rPr>
        <w:t>支持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帮助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建议和意见。</w:t>
      </w:r>
      <w:r>
        <w:rPr>
          <w:rFonts w:ascii="Times New Roman" w:eastAsia="宋体" w:hAnsi="Times New Roman" w:cs="Times New Roman" w:hint="eastAsia"/>
          <w:sz w:val="24"/>
          <w:szCs w:val="24"/>
        </w:rPr>
        <w:t>同时也感谢对本报告做出贡献的一些审阅者和讨论者，包括武汉大学张琳教授、武汉大学黄颖副教授等学者。</w:t>
      </w:r>
    </w:p>
    <w:sectPr w:rsidR="003B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AA" w:rsidRDefault="00807BAA" w:rsidP="00FB55C7">
      <w:r>
        <w:separator/>
      </w:r>
    </w:p>
  </w:endnote>
  <w:endnote w:type="continuationSeparator" w:id="0">
    <w:p w:rsidR="00807BAA" w:rsidRDefault="00807BAA" w:rsidP="00F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AA" w:rsidRDefault="00807BAA" w:rsidP="00FB55C7">
      <w:r>
        <w:separator/>
      </w:r>
    </w:p>
  </w:footnote>
  <w:footnote w:type="continuationSeparator" w:id="0">
    <w:p w:rsidR="00807BAA" w:rsidRDefault="00807BAA" w:rsidP="00FB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F"/>
    <w:rsid w:val="000002A5"/>
    <w:rsid w:val="00006CEB"/>
    <w:rsid w:val="000276D4"/>
    <w:rsid w:val="000409C7"/>
    <w:rsid w:val="000437BD"/>
    <w:rsid w:val="000462F1"/>
    <w:rsid w:val="00074938"/>
    <w:rsid w:val="000758D3"/>
    <w:rsid w:val="000865B1"/>
    <w:rsid w:val="000875A0"/>
    <w:rsid w:val="00092E06"/>
    <w:rsid w:val="000A67FE"/>
    <w:rsid w:val="000D362F"/>
    <w:rsid w:val="000E0652"/>
    <w:rsid w:val="000E558E"/>
    <w:rsid w:val="00100A07"/>
    <w:rsid w:val="00103080"/>
    <w:rsid w:val="00110241"/>
    <w:rsid w:val="00120D09"/>
    <w:rsid w:val="0012108C"/>
    <w:rsid w:val="0014081A"/>
    <w:rsid w:val="001472B4"/>
    <w:rsid w:val="00163A1A"/>
    <w:rsid w:val="00166A5F"/>
    <w:rsid w:val="0016757A"/>
    <w:rsid w:val="00192A17"/>
    <w:rsid w:val="00197EF4"/>
    <w:rsid w:val="001B02A4"/>
    <w:rsid w:val="001E3510"/>
    <w:rsid w:val="001E7DE6"/>
    <w:rsid w:val="001F588B"/>
    <w:rsid w:val="00207BAE"/>
    <w:rsid w:val="002143FF"/>
    <w:rsid w:val="00216F71"/>
    <w:rsid w:val="002202B0"/>
    <w:rsid w:val="0022134C"/>
    <w:rsid w:val="002218A5"/>
    <w:rsid w:val="0022258B"/>
    <w:rsid w:val="00225863"/>
    <w:rsid w:val="0022636E"/>
    <w:rsid w:val="00241FDB"/>
    <w:rsid w:val="002669D5"/>
    <w:rsid w:val="0028370D"/>
    <w:rsid w:val="0028700F"/>
    <w:rsid w:val="00291A33"/>
    <w:rsid w:val="002D1030"/>
    <w:rsid w:val="002D4FB1"/>
    <w:rsid w:val="0031554F"/>
    <w:rsid w:val="00327AA3"/>
    <w:rsid w:val="003316A7"/>
    <w:rsid w:val="00334FC1"/>
    <w:rsid w:val="003444D1"/>
    <w:rsid w:val="00362A10"/>
    <w:rsid w:val="00375DF7"/>
    <w:rsid w:val="00387191"/>
    <w:rsid w:val="003B0D5A"/>
    <w:rsid w:val="003D3BA4"/>
    <w:rsid w:val="003E09A1"/>
    <w:rsid w:val="003E2D13"/>
    <w:rsid w:val="003E371F"/>
    <w:rsid w:val="003E5B91"/>
    <w:rsid w:val="003F7F68"/>
    <w:rsid w:val="00402806"/>
    <w:rsid w:val="004127BA"/>
    <w:rsid w:val="0042076E"/>
    <w:rsid w:val="004334D7"/>
    <w:rsid w:val="00446555"/>
    <w:rsid w:val="00454AF1"/>
    <w:rsid w:val="004563B5"/>
    <w:rsid w:val="00477866"/>
    <w:rsid w:val="00480E41"/>
    <w:rsid w:val="00496ADD"/>
    <w:rsid w:val="004A4446"/>
    <w:rsid w:val="004B26A2"/>
    <w:rsid w:val="004E356E"/>
    <w:rsid w:val="004F2EFB"/>
    <w:rsid w:val="004F7641"/>
    <w:rsid w:val="00511B40"/>
    <w:rsid w:val="00521EC6"/>
    <w:rsid w:val="0053768A"/>
    <w:rsid w:val="005446F6"/>
    <w:rsid w:val="00550111"/>
    <w:rsid w:val="00555500"/>
    <w:rsid w:val="005576D4"/>
    <w:rsid w:val="00560860"/>
    <w:rsid w:val="00566A0F"/>
    <w:rsid w:val="00570C41"/>
    <w:rsid w:val="005A675E"/>
    <w:rsid w:val="005C173F"/>
    <w:rsid w:val="005D6835"/>
    <w:rsid w:val="005E2C1B"/>
    <w:rsid w:val="005E447D"/>
    <w:rsid w:val="005F1B6E"/>
    <w:rsid w:val="005F3583"/>
    <w:rsid w:val="00614B2C"/>
    <w:rsid w:val="00624313"/>
    <w:rsid w:val="00630BF9"/>
    <w:rsid w:val="00646C2C"/>
    <w:rsid w:val="00657049"/>
    <w:rsid w:val="006678AC"/>
    <w:rsid w:val="00676917"/>
    <w:rsid w:val="00681266"/>
    <w:rsid w:val="00685A96"/>
    <w:rsid w:val="006D2E0E"/>
    <w:rsid w:val="006D4A67"/>
    <w:rsid w:val="006E5B89"/>
    <w:rsid w:val="006F33B2"/>
    <w:rsid w:val="007441D5"/>
    <w:rsid w:val="00747DEC"/>
    <w:rsid w:val="00754091"/>
    <w:rsid w:val="00766A50"/>
    <w:rsid w:val="00781A0D"/>
    <w:rsid w:val="007A0AC3"/>
    <w:rsid w:val="007A519B"/>
    <w:rsid w:val="007A7EB0"/>
    <w:rsid w:val="007E40F2"/>
    <w:rsid w:val="007F2A4C"/>
    <w:rsid w:val="00805D3A"/>
    <w:rsid w:val="00807BAA"/>
    <w:rsid w:val="008115A5"/>
    <w:rsid w:val="008141B2"/>
    <w:rsid w:val="00817458"/>
    <w:rsid w:val="00822705"/>
    <w:rsid w:val="008327BD"/>
    <w:rsid w:val="00837CDD"/>
    <w:rsid w:val="008470D1"/>
    <w:rsid w:val="00865955"/>
    <w:rsid w:val="008708E8"/>
    <w:rsid w:val="008A6BF4"/>
    <w:rsid w:val="008F27C2"/>
    <w:rsid w:val="008F5477"/>
    <w:rsid w:val="008F6A9F"/>
    <w:rsid w:val="008F7A39"/>
    <w:rsid w:val="00910AA1"/>
    <w:rsid w:val="0091591F"/>
    <w:rsid w:val="00924D0B"/>
    <w:rsid w:val="009335FD"/>
    <w:rsid w:val="00954F50"/>
    <w:rsid w:val="00976056"/>
    <w:rsid w:val="009B0298"/>
    <w:rsid w:val="009B3BAD"/>
    <w:rsid w:val="009B7AC5"/>
    <w:rsid w:val="009E2CD3"/>
    <w:rsid w:val="009E3721"/>
    <w:rsid w:val="009F488A"/>
    <w:rsid w:val="009F5D08"/>
    <w:rsid w:val="00A27C9A"/>
    <w:rsid w:val="00A32C5E"/>
    <w:rsid w:val="00A665D5"/>
    <w:rsid w:val="00A72666"/>
    <w:rsid w:val="00A86435"/>
    <w:rsid w:val="00A9712A"/>
    <w:rsid w:val="00AC1BA4"/>
    <w:rsid w:val="00AE1C9F"/>
    <w:rsid w:val="00B066AE"/>
    <w:rsid w:val="00B15458"/>
    <w:rsid w:val="00B2435B"/>
    <w:rsid w:val="00B24AEB"/>
    <w:rsid w:val="00B27010"/>
    <w:rsid w:val="00B32405"/>
    <w:rsid w:val="00B5188E"/>
    <w:rsid w:val="00B65EC2"/>
    <w:rsid w:val="00B75C20"/>
    <w:rsid w:val="00BA4481"/>
    <w:rsid w:val="00BB3B05"/>
    <w:rsid w:val="00BC320E"/>
    <w:rsid w:val="00BF6C2B"/>
    <w:rsid w:val="00C03228"/>
    <w:rsid w:val="00C05B56"/>
    <w:rsid w:val="00C520E5"/>
    <w:rsid w:val="00C57972"/>
    <w:rsid w:val="00C64FB1"/>
    <w:rsid w:val="00C7354E"/>
    <w:rsid w:val="00C8539E"/>
    <w:rsid w:val="00CA3FFF"/>
    <w:rsid w:val="00CB7A34"/>
    <w:rsid w:val="00CC3EB2"/>
    <w:rsid w:val="00CD6BD3"/>
    <w:rsid w:val="00CE6160"/>
    <w:rsid w:val="00CE6D3C"/>
    <w:rsid w:val="00D04149"/>
    <w:rsid w:val="00D11DDD"/>
    <w:rsid w:val="00D157D6"/>
    <w:rsid w:val="00D21007"/>
    <w:rsid w:val="00D254B8"/>
    <w:rsid w:val="00D27DEE"/>
    <w:rsid w:val="00D570BD"/>
    <w:rsid w:val="00D61164"/>
    <w:rsid w:val="00D647C7"/>
    <w:rsid w:val="00D775B2"/>
    <w:rsid w:val="00D902D4"/>
    <w:rsid w:val="00D96C94"/>
    <w:rsid w:val="00DE5C53"/>
    <w:rsid w:val="00E25AAD"/>
    <w:rsid w:val="00E36FE5"/>
    <w:rsid w:val="00E37988"/>
    <w:rsid w:val="00E4208E"/>
    <w:rsid w:val="00E464F0"/>
    <w:rsid w:val="00E52206"/>
    <w:rsid w:val="00E56763"/>
    <w:rsid w:val="00E77E4B"/>
    <w:rsid w:val="00E82F8A"/>
    <w:rsid w:val="00EB1B82"/>
    <w:rsid w:val="00EC24B2"/>
    <w:rsid w:val="00EC72FC"/>
    <w:rsid w:val="00ED065C"/>
    <w:rsid w:val="00F30649"/>
    <w:rsid w:val="00F353ED"/>
    <w:rsid w:val="00F37F6D"/>
    <w:rsid w:val="00F40F56"/>
    <w:rsid w:val="00F71EE3"/>
    <w:rsid w:val="00F729F9"/>
    <w:rsid w:val="00F731EE"/>
    <w:rsid w:val="00F854E8"/>
    <w:rsid w:val="00FB55C7"/>
    <w:rsid w:val="00FC7707"/>
    <w:rsid w:val="00FE41B7"/>
    <w:rsid w:val="00FF165B"/>
    <w:rsid w:val="00FF6D96"/>
    <w:rsid w:val="27FD0C86"/>
    <w:rsid w:val="33CF74CA"/>
    <w:rsid w:val="578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able-Heading">
    <w:name w:val="Table - Heading"/>
    <w:basedOn w:val="a"/>
    <w:qFormat/>
    <w:pPr>
      <w:spacing w:beforeLines="50" w:before="50" w:after="80" w:line="240" w:lineRule="exact"/>
      <w:jc w:val="left"/>
    </w:pPr>
    <w:rPr>
      <w:rFonts w:ascii="Times New Roman" w:hAnsi="Times New Roman" w:cs="Times New Roman"/>
      <w:b/>
      <w:color w:val="000000" w:themeColor="text1"/>
      <w:sz w:val="18"/>
    </w:rPr>
  </w:style>
  <w:style w:type="paragraph" w:customStyle="1" w:styleId="TableText-Bold">
    <w:name w:val="Table Text - Bold"/>
    <w:basedOn w:val="a"/>
    <w:qFormat/>
    <w:pPr>
      <w:widowControl/>
      <w:spacing w:after="160" w:line="240" w:lineRule="exact"/>
      <w:jc w:val="center"/>
    </w:pPr>
    <w:rPr>
      <w:rFonts w:ascii="Times New Roman" w:hAnsi="Times New Roman" w:cs="Times New Roman"/>
      <w:b/>
      <w:color w:val="000000" w:themeColor="text1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2143F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z-">
    <w:name w:val="HTML Top of Form"/>
    <w:basedOn w:val="a"/>
    <w:next w:val="a"/>
    <w:hidden/>
    <w:uiPriority w:val="99"/>
    <w:semiHidden/>
    <w:unhideWhenUsed/>
    <w:rsid w:val="002143F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2143FF"/>
    <w:rPr>
      <w:rFonts w:ascii="Arial" w:hAnsi="Arial" w:cs="Arial"/>
      <w:vanish/>
      <w:kern w:val="2"/>
      <w:sz w:val="16"/>
      <w:szCs w:val="16"/>
    </w:rPr>
  </w:style>
  <w:style w:type="paragraph" w:styleId="z-0">
    <w:name w:val="HTML Bottom of Form"/>
    <w:basedOn w:val="a"/>
    <w:next w:val="a"/>
    <w:hidden/>
    <w:uiPriority w:val="99"/>
    <w:semiHidden/>
    <w:unhideWhenUsed/>
    <w:rsid w:val="002143F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2143FF"/>
    <w:rPr>
      <w:rFonts w:ascii="Arial" w:hAnsi="Arial" w:cs="Arial"/>
      <w:vanish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able-Heading">
    <w:name w:val="Table - Heading"/>
    <w:basedOn w:val="a"/>
    <w:qFormat/>
    <w:pPr>
      <w:spacing w:beforeLines="50" w:before="50" w:after="80" w:line="240" w:lineRule="exact"/>
      <w:jc w:val="left"/>
    </w:pPr>
    <w:rPr>
      <w:rFonts w:ascii="Times New Roman" w:hAnsi="Times New Roman" w:cs="Times New Roman"/>
      <w:b/>
      <w:color w:val="000000" w:themeColor="text1"/>
      <w:sz w:val="18"/>
    </w:rPr>
  </w:style>
  <w:style w:type="paragraph" w:customStyle="1" w:styleId="TableText-Bold">
    <w:name w:val="Table Text - Bold"/>
    <w:basedOn w:val="a"/>
    <w:qFormat/>
    <w:pPr>
      <w:widowControl/>
      <w:spacing w:after="160" w:line="240" w:lineRule="exact"/>
      <w:jc w:val="center"/>
    </w:pPr>
    <w:rPr>
      <w:rFonts w:ascii="Times New Roman" w:hAnsi="Times New Roman" w:cs="Times New Roman"/>
      <w:b/>
      <w:color w:val="000000" w:themeColor="text1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2143F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z-">
    <w:name w:val="HTML Top of Form"/>
    <w:basedOn w:val="a"/>
    <w:next w:val="a"/>
    <w:hidden/>
    <w:uiPriority w:val="99"/>
    <w:semiHidden/>
    <w:unhideWhenUsed/>
    <w:rsid w:val="002143F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2143FF"/>
    <w:rPr>
      <w:rFonts w:ascii="Arial" w:hAnsi="Arial" w:cs="Arial"/>
      <w:vanish/>
      <w:kern w:val="2"/>
      <w:sz w:val="16"/>
      <w:szCs w:val="16"/>
    </w:rPr>
  </w:style>
  <w:style w:type="paragraph" w:styleId="z-0">
    <w:name w:val="HTML Bottom of Form"/>
    <w:basedOn w:val="a"/>
    <w:next w:val="a"/>
    <w:hidden/>
    <w:uiPriority w:val="99"/>
    <w:semiHidden/>
    <w:unhideWhenUsed/>
    <w:rsid w:val="002143F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2143FF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2019-10-22T11:33:00Z</dcterms:created>
  <dcterms:modified xsi:type="dcterms:W3CDTF">2019-10-22T11:34:00Z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